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73ECB6" w14:textId="3946824C" w:rsidR="00AF6EF1" w:rsidRPr="007E0D26" w:rsidRDefault="00AF6EF1" w:rsidP="00AF6EF1">
      <w:pPr>
        <w:spacing w:before="240" w:after="240"/>
        <w:jc w:val="center"/>
        <w:rPr>
          <w:rFonts w:ascii="Garamond" w:hAnsi="Garamond"/>
          <w:lang w:val="en-US"/>
        </w:rPr>
      </w:pPr>
      <w:r w:rsidRPr="007E0D26">
        <w:rPr>
          <w:rFonts w:ascii="Garamond" w:hAnsi="Garamond"/>
          <w:b/>
          <w:bCs/>
          <w:sz w:val="32"/>
          <w:szCs w:val="32"/>
          <w:lang w:val="en-US"/>
        </w:rPr>
        <w:t>README — Reproducibility package (</w:t>
      </w:r>
      <w:r>
        <w:rPr>
          <w:rFonts w:ascii="Garamond" w:hAnsi="Garamond"/>
          <w:b/>
          <w:bCs/>
          <w:sz w:val="32"/>
          <w:szCs w:val="32"/>
          <w:lang w:val="en-US"/>
        </w:rPr>
        <w:t>Madagascar</w:t>
      </w:r>
      <w:r w:rsidRPr="007E0D26">
        <w:rPr>
          <w:rFonts w:ascii="Garamond" w:hAnsi="Garamond"/>
          <w:b/>
          <w:bCs/>
          <w:sz w:val="32"/>
          <w:szCs w:val="32"/>
          <w:lang w:val="en-US"/>
        </w:rPr>
        <w:t>)</w:t>
      </w:r>
    </w:p>
    <w:p w14:paraId="7B4CFDAC" w14:textId="77777777" w:rsidR="00AF6EF1" w:rsidRPr="007E0D26" w:rsidRDefault="00AF6EF1" w:rsidP="00AF6EF1">
      <w:pPr>
        <w:spacing w:before="240" w:after="240" w:line="360" w:lineRule="auto"/>
        <w:jc w:val="center"/>
        <w:rPr>
          <w:rFonts w:ascii="Garamond" w:hAnsi="Garamond"/>
          <w:i/>
          <w:iCs/>
          <w:sz w:val="28"/>
          <w:szCs w:val="28"/>
          <w:lang w:val="en-US"/>
        </w:rPr>
      </w:pPr>
      <w:r w:rsidRPr="007E0D26">
        <w:rPr>
          <w:rFonts w:ascii="Garamond" w:hAnsi="Garamond"/>
          <w:b/>
          <w:bCs/>
          <w:i/>
          <w:iCs/>
          <w:sz w:val="28"/>
          <w:szCs w:val="28"/>
          <w:lang w:val="en-US"/>
        </w:rPr>
        <w:t>"Not Too Much, Not Too Little: A Goldilocks approach to sustainable, universal electricity access in sub-Saharan Africa"</w:t>
      </w:r>
    </w:p>
    <w:p w14:paraId="53AC9D8E" w14:textId="77777777" w:rsidR="00AF6EF1" w:rsidRPr="007E0D26" w:rsidRDefault="00AF6EF1" w:rsidP="00AF6EF1">
      <w:pPr>
        <w:spacing w:before="240" w:after="240"/>
        <w:jc w:val="center"/>
        <w:rPr>
          <w:rFonts w:ascii="Garamond" w:hAnsi="Garamond"/>
          <w:lang w:val="en-US"/>
        </w:rPr>
      </w:pPr>
      <w:r w:rsidRPr="007E0D26">
        <w:rPr>
          <w:rFonts w:ascii="Garamond" w:hAnsi="Garamond"/>
          <w:lang w:val="en-US"/>
        </w:rPr>
        <w:t>Santos J. Díaz-Pastor, Yang Liu, Ignacio J. Pérez-Arriaga</w:t>
      </w:r>
    </w:p>
    <w:p w14:paraId="202523FC" w14:textId="77777777" w:rsidR="00AF6EF1" w:rsidRDefault="00AF6EF1" w:rsidP="00AF6EF1">
      <w:pPr>
        <w:spacing w:before="240" w:after="240"/>
        <w:jc w:val="center"/>
        <w:rPr>
          <w:rFonts w:ascii="Garamond" w:hAnsi="Garamond"/>
          <w:i/>
          <w:iCs/>
          <w:sz w:val="19"/>
          <w:szCs w:val="19"/>
          <w:lang w:val="en-US"/>
        </w:rPr>
      </w:pPr>
      <w:r w:rsidRPr="007E0D26">
        <w:rPr>
          <w:rFonts w:ascii="Garamond" w:hAnsi="Garamond"/>
          <w:i/>
          <w:iCs/>
          <w:sz w:val="19"/>
          <w:szCs w:val="19"/>
          <w:lang w:val="en-US"/>
        </w:rPr>
        <w:t>Massachusetts Institute of Technology (MIT); Institute for Research in Technology, Comillas Pontifical University; World Bank Group.</w:t>
      </w:r>
    </w:p>
    <w:p w14:paraId="1B362BFA" w14:textId="77777777" w:rsidR="00AF6EF1" w:rsidRPr="007E0D26" w:rsidRDefault="00AF6EF1" w:rsidP="00AF6EF1">
      <w:pPr>
        <w:spacing w:before="240" w:after="240"/>
        <w:jc w:val="center"/>
        <w:rPr>
          <w:rFonts w:ascii="Garamond" w:hAnsi="Garamond"/>
          <w:lang w:val="en-US"/>
        </w:rPr>
      </w:pPr>
    </w:p>
    <w:p w14:paraId="44E7C049" w14:textId="77777777" w:rsidR="00CF3CFF" w:rsidRPr="00AF6EF1" w:rsidRDefault="00000000" w:rsidP="00AF6EF1">
      <w:pPr>
        <w:pStyle w:val="Ttulo1"/>
      </w:pPr>
      <w:r w:rsidRPr="00AF6EF1">
        <w:t>1. Overview</w:t>
      </w:r>
    </w:p>
    <w:p w14:paraId="09C896F3"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lang w:val="en-US"/>
        </w:rPr>
        <w:t xml:space="preserve">The Madagascar contribution to the manuscript is a single exhibit, </w:t>
      </w:r>
      <w:r w:rsidRPr="00AF6EF1">
        <w:rPr>
          <w:rFonts w:ascii="Garamond" w:hAnsi="Garamond"/>
          <w:b/>
          <w:bCs/>
          <w:lang w:val="en-US"/>
        </w:rPr>
        <w:t>Table 3</w:t>
      </w:r>
      <w:r w:rsidRPr="00AF6EF1">
        <w:rPr>
          <w:rFonts w:ascii="Garamond" w:hAnsi="Garamond"/>
          <w:lang w:val="en-US"/>
        </w:rPr>
        <w:t xml:space="preserve"> (two district projects under the Cadre d’Électrification Rurale Intégrée, CERI), with the supporting figures reported in the text of Section 6.3.</w:t>
      </w:r>
    </w:p>
    <w:p w14:paraId="6F53A75D"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b/>
          <w:bCs/>
          <w:lang w:val="en-US"/>
        </w:rPr>
        <w:t xml:space="preserve">These figures are not model outputs. </w:t>
      </w:r>
      <w:r w:rsidRPr="00AF6EF1">
        <w:rPr>
          <w:rFonts w:ascii="Garamond" w:hAnsi="Garamond"/>
          <w:lang w:val="en-US"/>
        </w:rPr>
        <w:t xml:space="preserve">Unlike the Uganda and Zambia results, Table 3 is </w:t>
      </w:r>
      <w:r w:rsidRPr="00AF6EF1">
        <w:rPr>
          <w:rFonts w:ascii="Garamond" w:hAnsi="Garamond"/>
          <w:b/>
          <w:bCs/>
          <w:lang w:val="en-US"/>
        </w:rPr>
        <w:t>transcribed from two publicly available GIZ / Tosika Angovo (TANGO) factsheets</w:t>
      </w:r>
      <w:r w:rsidRPr="00AF6EF1">
        <w:rPr>
          <w:rFonts w:ascii="Garamond" w:hAnsi="Garamond"/>
          <w:lang w:val="en-US"/>
        </w:rPr>
        <w:t>, which are included in this package. No financial model is run to produce them.</w:t>
      </w:r>
    </w:p>
    <w:p w14:paraId="774898BD"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b/>
          <w:bCs/>
          <w:lang w:val="en-US"/>
        </w:rPr>
        <w:t xml:space="preserve">No model is included. </w:t>
      </w:r>
      <w:r w:rsidRPr="00AF6EF1">
        <w:rPr>
          <w:rFonts w:ascii="Garamond" w:hAnsi="Garamond"/>
          <w:lang w:val="en-US"/>
        </w:rPr>
        <w:t>The detailed district financial models behind the CERI plans are confidential; the package therefore does not contain a model and instead documents the external public source of every Table 3 value and shows how to verify it against the two factsheets. The authors’ role in the underlying analysis is stated in Section 6 (Provenance and Disclosure).</w:t>
      </w:r>
    </w:p>
    <w:p w14:paraId="3718718A"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b/>
          <w:bCs/>
          <w:lang w:val="en-US"/>
        </w:rPr>
        <w:t xml:space="preserve">Scope. </w:t>
      </w:r>
      <w:r w:rsidRPr="00AF6EF1">
        <w:rPr>
          <w:rFonts w:ascii="Garamond" w:hAnsi="Garamond"/>
          <w:lang w:val="en-US"/>
        </w:rPr>
        <w:t>This package covers only the Madagascar exhibit. Uganda (Table 1; Section 4) and Zambia (Table 2; Section 5) are reproduced by separate packages, each from the authors’ own financial model. Table 4 and Figures 1–2 are conceptual or synthetic.</w:t>
      </w:r>
    </w:p>
    <w:p w14:paraId="3FC87DBF" w14:textId="77777777" w:rsidR="00CF3CFF" w:rsidRPr="00AF6EF1" w:rsidRDefault="00000000" w:rsidP="00AF6EF1">
      <w:pPr>
        <w:pStyle w:val="Ttulo1"/>
      </w:pPr>
      <w:r w:rsidRPr="00AF6EF1">
        <w:t>2. Data Availability</w:t>
      </w:r>
    </w:p>
    <w:p w14:paraId="098CCE39"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b/>
          <w:bCs/>
          <w:lang w:val="en-US"/>
        </w:rPr>
        <w:t>Data-availability category:</w:t>
      </w:r>
    </w:p>
    <w:p w14:paraId="79D01F45"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b/>
          <w:bCs/>
          <w:lang w:val="en-US"/>
        </w:rPr>
        <w:t xml:space="preserve">[X] All data are publicly available. </w:t>
      </w:r>
      <w:r w:rsidRPr="00AF6EF1">
        <w:rPr>
          <w:rFonts w:ascii="Garamond" w:hAnsi="Garamond"/>
          <w:lang w:val="en-US"/>
        </w:rPr>
        <w:t>Table 3 contains only figures published by GIZ in two public factsheets (included). No confidential data is reproduced in the package.</w:t>
      </w:r>
    </w:p>
    <w:p w14:paraId="404C8D9B"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lang w:val="en-US"/>
        </w:rPr>
        <w:t>[ ] Some data cannot be made publicly available.</w:t>
      </w:r>
    </w:p>
    <w:p w14:paraId="53E15098"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lang w:val="en-US"/>
        </w:rPr>
        <w:t>[ ] No data can be made publicly available.</w:t>
      </w:r>
    </w:p>
    <w:p w14:paraId="05DDB688" w14:textId="77777777" w:rsidR="00CF3CFF" w:rsidRPr="00AF6EF1" w:rsidRDefault="00000000" w:rsidP="00AF6EF1">
      <w:pPr>
        <w:pStyle w:val="Ttulo2"/>
      </w:pPr>
      <w:r w:rsidRPr="00AF6EF1">
        <w:t>2.1 Data sources</w:t>
      </w:r>
    </w:p>
    <w:p w14:paraId="25B034AF"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b/>
          <w:bCs/>
          <w:lang w:val="en-US"/>
        </w:rPr>
        <w:t>Source of Table 3 (included in the package):</w:t>
      </w:r>
    </w:p>
    <w:p w14:paraId="73E1D6AB"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b/>
          <w:bCs/>
          <w:lang w:val="en-US"/>
        </w:rPr>
        <w:t xml:space="preserve">GIZ (2025b) — Fandriana. </w:t>
      </w:r>
      <w:r w:rsidRPr="00AF6EF1">
        <w:rPr>
          <w:rFonts w:ascii="Garamond" w:hAnsi="Garamond"/>
          <w:lang w:val="en-US"/>
        </w:rPr>
        <w:t xml:space="preserve">“Electrification Rurale Intégrée de Fandriana.” Deutsche Gesellschaft für Internationale Zusammenarbeit (Tosika Angovo). File </w:t>
      </w:r>
      <w:r w:rsidRPr="00AF6EF1">
        <w:rPr>
          <w:rFonts w:ascii="Garamond" w:eastAsia="Consolas" w:hAnsi="Garamond" w:cs="Consolas"/>
          <w:sz w:val="20"/>
          <w:szCs w:val="20"/>
          <w:lang w:val="en-US"/>
        </w:rPr>
        <w:t>giz2025-fr-...Fandriana.pdf</w:t>
      </w:r>
      <w:r w:rsidRPr="00AF6EF1">
        <w:rPr>
          <w:rFonts w:ascii="Garamond" w:hAnsi="Garamond"/>
          <w:lang w:val="en-US"/>
        </w:rPr>
        <w:t>.</w:t>
      </w:r>
    </w:p>
    <w:p w14:paraId="39F547B2" w14:textId="3FA788A1" w:rsidR="00CF3CFF" w:rsidRPr="00AF6EF1" w:rsidRDefault="00000000" w:rsidP="00AF6EF1">
      <w:pPr>
        <w:pStyle w:val="Prrafodelista"/>
        <w:numPr>
          <w:ilvl w:val="1"/>
          <w:numId w:val="1"/>
        </w:numPr>
        <w:spacing w:after="60" w:line="276" w:lineRule="auto"/>
        <w:rPr>
          <w:rFonts w:ascii="Garamond" w:hAnsi="Garamond"/>
          <w:lang w:val="en-US"/>
        </w:rPr>
      </w:pPr>
      <w:r w:rsidRPr="00AF6EF1">
        <w:rPr>
          <w:rFonts w:ascii="Garamond" w:hAnsi="Garamond"/>
          <w:b/>
          <w:bCs/>
          <w:lang w:val="en-US"/>
        </w:rPr>
        <w:t xml:space="preserve">Public URL: </w:t>
      </w:r>
      <w:hyperlink r:id="rId5" w:history="1">
        <w:r w:rsidR="00AF6EF1" w:rsidRPr="00D75294">
          <w:rPr>
            <w:rStyle w:val="Hipervnculo"/>
            <w:rFonts w:ascii="Garamond" w:hAnsi="Garamond"/>
            <w:b/>
            <w:bCs/>
            <w:lang w:val="en-US"/>
          </w:rPr>
          <w:t>https://www.giz.de/de/downloads/giz2025-fr-Electrification%20Rurale%20Intégrée%20de%20Fandriana.pdf</w:t>
        </w:r>
      </w:hyperlink>
    </w:p>
    <w:p w14:paraId="11CC4EF5"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b/>
          <w:bCs/>
          <w:lang w:val="en-US"/>
        </w:rPr>
        <w:t xml:space="preserve">GIZ (2025c) — Jiro Taratra. </w:t>
      </w:r>
      <w:r w:rsidRPr="00AF6EF1">
        <w:rPr>
          <w:rFonts w:ascii="Garamond" w:hAnsi="Garamond"/>
          <w:lang w:val="en-US"/>
        </w:rPr>
        <w:t xml:space="preserve">“Electrification Rurale Intégrée de Jiro Taratra.” Deutsche Gesellschaft für Internationale Zusammenarbeit (Tosika Angovo). File </w:t>
      </w:r>
      <w:r w:rsidRPr="00AF6EF1">
        <w:rPr>
          <w:rFonts w:ascii="Garamond" w:eastAsia="Consolas" w:hAnsi="Garamond" w:cs="Consolas"/>
          <w:sz w:val="20"/>
          <w:szCs w:val="20"/>
          <w:lang w:val="en-US"/>
        </w:rPr>
        <w:t>giz2025-fr-...Jiro_Taratra.pdf</w:t>
      </w:r>
      <w:r w:rsidRPr="00AF6EF1">
        <w:rPr>
          <w:rFonts w:ascii="Garamond" w:hAnsi="Garamond"/>
          <w:lang w:val="en-US"/>
        </w:rPr>
        <w:t>.</w:t>
      </w:r>
    </w:p>
    <w:p w14:paraId="65FDD7EE" w14:textId="7A6E5E59" w:rsidR="00CF3CFF" w:rsidRPr="00AF6EF1" w:rsidRDefault="00000000" w:rsidP="00AF6EF1">
      <w:pPr>
        <w:pStyle w:val="Prrafodelista"/>
        <w:numPr>
          <w:ilvl w:val="1"/>
          <w:numId w:val="1"/>
        </w:numPr>
        <w:spacing w:after="60" w:line="276" w:lineRule="auto"/>
        <w:rPr>
          <w:rStyle w:val="Hipervnculo"/>
          <w:b/>
          <w:bCs/>
          <w:lang w:val="en-US"/>
        </w:rPr>
      </w:pPr>
      <w:r w:rsidRPr="00AF6EF1">
        <w:rPr>
          <w:rFonts w:ascii="Garamond" w:hAnsi="Garamond"/>
          <w:b/>
          <w:bCs/>
          <w:lang w:val="en-US"/>
        </w:rPr>
        <w:t>Public URL:</w:t>
      </w:r>
      <w:r w:rsidR="00AF6EF1">
        <w:rPr>
          <w:rFonts w:ascii="Garamond" w:hAnsi="Garamond"/>
          <w:b/>
          <w:bCs/>
          <w:color w:val="C00000"/>
          <w:lang w:val="en-US"/>
        </w:rPr>
        <w:t xml:space="preserve"> </w:t>
      </w:r>
      <w:hyperlink r:id="rId6" w:history="1">
        <w:r w:rsidR="00AF6EF1" w:rsidRPr="00D75294">
          <w:rPr>
            <w:rStyle w:val="Hipervnculo"/>
            <w:rFonts w:ascii="Garamond" w:hAnsi="Garamond"/>
            <w:b/>
            <w:bCs/>
            <w:lang w:val="en-US"/>
          </w:rPr>
          <w:t>https://www.giz.de/de/downloads/giz2025-fr-Electrification%20Rurale%20Intégrée%20de%20Jiro%20Taratra.pdf</w:t>
        </w:r>
      </w:hyperlink>
    </w:p>
    <w:p w14:paraId="5651B7E0"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b/>
          <w:bCs/>
          <w:lang w:val="en-US"/>
        </w:rPr>
        <w:lastRenderedPageBreak/>
        <w:t>Context sources cited in Section 6 (not the source of Table 3, referenced only):</w:t>
      </w:r>
    </w:p>
    <w:p w14:paraId="1807F43A" w14:textId="505FB304"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lang w:val="en-US"/>
        </w:rPr>
        <w:t xml:space="preserve">GIZ (2025a), “La GIZ </w:t>
      </w:r>
      <w:proofErr w:type="spellStart"/>
      <w:r w:rsidRPr="00AF6EF1">
        <w:rPr>
          <w:rFonts w:ascii="Garamond" w:hAnsi="Garamond"/>
          <w:lang w:val="en-US"/>
        </w:rPr>
        <w:t>renforce</w:t>
      </w:r>
      <w:proofErr w:type="spellEnd"/>
      <w:r w:rsidRPr="00AF6EF1">
        <w:rPr>
          <w:rFonts w:ascii="Garamond" w:hAnsi="Garamond"/>
          <w:lang w:val="en-US"/>
        </w:rPr>
        <w:t xml:space="preserve"> </w:t>
      </w:r>
      <w:proofErr w:type="spellStart"/>
      <w:r w:rsidRPr="00AF6EF1">
        <w:rPr>
          <w:rFonts w:ascii="Garamond" w:hAnsi="Garamond"/>
          <w:lang w:val="en-US"/>
        </w:rPr>
        <w:t>l’accès</w:t>
      </w:r>
      <w:proofErr w:type="spellEnd"/>
      <w:r w:rsidRPr="00AF6EF1">
        <w:rPr>
          <w:rFonts w:ascii="Garamond" w:hAnsi="Garamond"/>
          <w:lang w:val="en-US"/>
        </w:rPr>
        <w:t xml:space="preserve"> à </w:t>
      </w:r>
      <w:proofErr w:type="spellStart"/>
      <w:r w:rsidRPr="00AF6EF1">
        <w:rPr>
          <w:rFonts w:ascii="Garamond" w:hAnsi="Garamond"/>
          <w:lang w:val="en-US"/>
        </w:rPr>
        <w:t>l’énergie</w:t>
      </w:r>
      <w:proofErr w:type="spellEnd"/>
      <w:r w:rsidRPr="00AF6EF1">
        <w:rPr>
          <w:rFonts w:ascii="Garamond" w:hAnsi="Garamond"/>
          <w:lang w:val="en-US"/>
        </w:rPr>
        <w:t xml:space="preserve"> durable à Madagascar” — </w:t>
      </w:r>
      <w:hyperlink r:id="rId7" w:history="1">
        <w:r w:rsidR="00AF6EF1" w:rsidRPr="00D75294">
          <w:rPr>
            <w:rStyle w:val="Hipervnculo"/>
            <w:rFonts w:ascii="Garamond" w:eastAsia="Consolas" w:hAnsi="Garamond" w:cs="Consolas"/>
            <w:sz w:val="20"/>
            <w:szCs w:val="20"/>
            <w:lang w:val="en-US"/>
          </w:rPr>
          <w:t>https://www.giz.de/sites/default/files/media/els-document/2026-01/giz-renforce-l-acces-l-energie-durable-madagascar.pdf</w:t>
        </w:r>
      </w:hyperlink>
    </w:p>
    <w:p w14:paraId="04312579" w14:textId="251C1D33"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lang w:val="en-US"/>
        </w:rPr>
        <w:t xml:space="preserve">IMF (2025), Republic of Madagascar 2024 Article IV — </w:t>
      </w:r>
      <w:hyperlink r:id="rId8" w:history="1">
        <w:r w:rsidR="00AF6EF1" w:rsidRPr="00D75294">
          <w:rPr>
            <w:rStyle w:val="Hipervnculo"/>
            <w:rFonts w:ascii="Garamond" w:eastAsia="Consolas" w:hAnsi="Garamond" w:cs="Consolas"/>
            <w:sz w:val="20"/>
            <w:szCs w:val="20"/>
            <w:lang w:val="en-US"/>
          </w:rPr>
          <w:t>https://www.imf.org/-/media/files/publications/cr/2025/english/1mdgea2025001-print-pdf.pdf</w:t>
        </w:r>
      </w:hyperlink>
    </w:p>
    <w:p w14:paraId="6C77429C" w14:textId="04996A89"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lang w:val="en-US"/>
        </w:rPr>
        <w:t xml:space="preserve">Government of Madagascar (2017a/b), Laws No. 2017-021 (FNE) and No. 2017-020 (Electricity Code) — </w:t>
      </w:r>
      <w:hyperlink r:id="rId9" w:history="1">
        <w:r w:rsidR="00AF6EF1" w:rsidRPr="00D75294">
          <w:rPr>
            <w:rStyle w:val="Hipervnculo"/>
            <w:rFonts w:ascii="Garamond" w:eastAsia="Consolas" w:hAnsi="Garamond" w:cs="Consolas"/>
            <w:sz w:val="20"/>
            <w:szCs w:val="20"/>
            <w:lang w:val="en-US"/>
          </w:rPr>
          <w:t>https://cnlegis.gov.mg/page_find_direct_mots/</w:t>
        </w:r>
      </w:hyperlink>
    </w:p>
    <w:p w14:paraId="36434898" w14:textId="77777777" w:rsidR="00CF3CFF" w:rsidRPr="00AF6EF1" w:rsidRDefault="00000000" w:rsidP="00AF6EF1">
      <w:pPr>
        <w:pStyle w:val="Ttulo2"/>
      </w:pPr>
      <w:r w:rsidRPr="00AF6EF1">
        <w:t>2.2 Statement about rights</w:t>
      </w:r>
    </w:p>
    <w:p w14:paraId="4E44B4AD"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lang w:val="en-US"/>
        </w:rPr>
        <w:t>The two factsheets are © Deutsche Gesellschaft für Internationale Zusammenarbeit (GIZ) GmbH, commissioned by the German Federal Ministry (BMZ) and co-financed by the European Union. They are reproduced here as publicly available source documents under GIZ’s terms, with attribution. This package contains no authors’ code or model, so no software license applies; the README is the authors’ documentation.</w:t>
      </w:r>
    </w:p>
    <w:p w14:paraId="3CD4394C" w14:textId="77777777" w:rsidR="00CF3CFF" w:rsidRPr="00AF6EF1" w:rsidRDefault="00000000" w:rsidP="00AF6EF1">
      <w:pPr>
        <w:pStyle w:val="Ttulo1"/>
      </w:pPr>
      <w:r w:rsidRPr="00AF6EF1">
        <w:t>3. Instructions for Replicators</w:t>
      </w:r>
    </w:p>
    <w:p w14:paraId="34A6FA64"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b/>
          <w:bCs/>
          <w:lang w:val="en-US"/>
        </w:rPr>
        <w:t xml:space="preserve">There is no code to run and no model to execute. </w:t>
      </w:r>
      <w:r w:rsidRPr="00AF6EF1">
        <w:rPr>
          <w:rFonts w:ascii="Garamond" w:hAnsi="Garamond"/>
          <w:lang w:val="en-US"/>
        </w:rPr>
        <w:t>Table 3 reproduces figures already published by GIZ. To verify it:</w:t>
      </w:r>
    </w:p>
    <w:p w14:paraId="04E0A9BF"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lang w:val="en-US"/>
        </w:rPr>
        <w:t>Open the two factsheets (PDF; any reader).</w:t>
      </w:r>
    </w:p>
    <w:p w14:paraId="39DCA894"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lang w:val="en-US"/>
        </w:rPr>
        <w:t>Compare each Table 3 value against the source mapping in Section 4. Each value appears on the indicated page of the corresponding factsheet.</w:t>
      </w:r>
    </w:p>
    <w:p w14:paraId="613C0556"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i/>
          <w:iCs/>
          <w:sz w:val="19"/>
          <w:szCs w:val="19"/>
          <w:lang w:val="en-US"/>
        </w:rPr>
        <w:t>No software, environment, or runtime is required (see Requirements).</w:t>
      </w:r>
    </w:p>
    <w:p w14:paraId="56A5B0B2" w14:textId="77777777" w:rsidR="00CF3CFF" w:rsidRPr="00AF6EF1" w:rsidRDefault="00000000" w:rsidP="00AF6EF1">
      <w:pPr>
        <w:pStyle w:val="Ttulo1"/>
      </w:pPr>
      <w:r w:rsidRPr="00AF6EF1">
        <w:t>4. List of Exhibits</w:t>
      </w:r>
    </w:p>
    <w:p w14:paraId="2D78918E"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b/>
          <w:bCs/>
          <w:lang w:val="en-US"/>
        </w:rPr>
        <w:t>This package reproduces:</w:t>
      </w:r>
    </w:p>
    <w:p w14:paraId="0574B5DA"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lang w:val="en-US"/>
        </w:rPr>
        <w:t>[X] Table 3 and the in-text figures of Section 6.3 (Madagascar), all from the two GIZ factsheets.</w:t>
      </w:r>
    </w:p>
    <w:p w14:paraId="697127B0"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lang w:val="en-US"/>
        </w:rPr>
        <w:t>[ ] All tables and figures in the paper (Uganda, Zambia, and the conceptual exhibits are out of scope here).</w:t>
      </w:r>
    </w:p>
    <w:p w14:paraId="350C6D52"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i/>
          <w:iCs/>
          <w:sz w:val="19"/>
          <w:szCs w:val="19"/>
          <w:lang w:val="en-US"/>
        </w:rPr>
        <w:t>Source mapping for Table 3. Each value is traceable to the page shown. Figures are taken from the page-3 long-term-plan narrative and the page-4 headline infographic of each factsheet.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50"/>
        <w:gridCol w:w="3438"/>
        <w:gridCol w:w="3438"/>
      </w:tblGrid>
      <w:tr w:rsidR="00CF3CFF" w:rsidRPr="00AF6EF1" w14:paraId="03FE8E3B" w14:textId="77777777">
        <w:trPr>
          <w:tblHeader/>
        </w:trPr>
        <w:tc>
          <w:tcPr>
            <w:tcW w:w="2150" w:type="dxa"/>
            <w:tcBorders>
              <w:top w:val="single" w:sz="1" w:space="0" w:color="BBBBBB"/>
              <w:left w:val="single" w:sz="1" w:space="0" w:color="BBBBBB"/>
              <w:bottom w:val="single" w:sz="1" w:space="0" w:color="BBBBBB"/>
              <w:right w:val="single" w:sz="1" w:space="0" w:color="BBBBBB"/>
            </w:tcBorders>
            <w:shd w:val="clear" w:color="auto" w:fill="2E5E8C"/>
            <w:tcMar>
              <w:top w:w="60" w:type="dxa"/>
              <w:left w:w="110" w:type="dxa"/>
              <w:bottom w:w="60" w:type="dxa"/>
              <w:right w:w="110" w:type="dxa"/>
            </w:tcMar>
          </w:tcPr>
          <w:p w14:paraId="38CAA939" w14:textId="77777777" w:rsidR="00CF3CFF" w:rsidRPr="00AF6EF1" w:rsidRDefault="00000000" w:rsidP="00AF6EF1">
            <w:pPr>
              <w:spacing w:after="40" w:line="252" w:lineRule="auto"/>
              <w:rPr>
                <w:rFonts w:ascii="Garamond" w:hAnsi="Garamond"/>
                <w:lang w:val="en-US"/>
              </w:rPr>
            </w:pPr>
            <w:r w:rsidRPr="00AF6EF1">
              <w:rPr>
                <w:rFonts w:ascii="Garamond" w:hAnsi="Garamond"/>
                <w:b/>
                <w:bCs/>
                <w:color w:val="FFFFFF"/>
                <w:lang w:val="en-US"/>
              </w:rPr>
              <w:t>Table 3 indicator</w:t>
            </w:r>
          </w:p>
        </w:tc>
        <w:tc>
          <w:tcPr>
            <w:tcW w:w="3438" w:type="dxa"/>
            <w:tcBorders>
              <w:top w:val="single" w:sz="1" w:space="0" w:color="BBBBBB"/>
              <w:left w:val="single" w:sz="1" w:space="0" w:color="BBBBBB"/>
              <w:bottom w:val="single" w:sz="1" w:space="0" w:color="BBBBBB"/>
              <w:right w:val="single" w:sz="1" w:space="0" w:color="BBBBBB"/>
            </w:tcBorders>
            <w:shd w:val="clear" w:color="auto" w:fill="2E5E8C"/>
            <w:tcMar>
              <w:top w:w="60" w:type="dxa"/>
              <w:left w:w="110" w:type="dxa"/>
              <w:bottom w:w="60" w:type="dxa"/>
              <w:right w:w="110" w:type="dxa"/>
            </w:tcMar>
          </w:tcPr>
          <w:p w14:paraId="51CABFA8" w14:textId="77777777" w:rsidR="00CF3CFF" w:rsidRPr="00AF6EF1" w:rsidRDefault="00000000" w:rsidP="00AF6EF1">
            <w:pPr>
              <w:spacing w:after="40" w:line="252" w:lineRule="auto"/>
              <w:rPr>
                <w:rFonts w:ascii="Garamond" w:hAnsi="Garamond"/>
                <w:lang w:val="en-US"/>
              </w:rPr>
            </w:pPr>
            <w:r w:rsidRPr="00AF6EF1">
              <w:rPr>
                <w:rFonts w:ascii="Garamond" w:hAnsi="Garamond"/>
                <w:b/>
                <w:bCs/>
                <w:color w:val="FFFFFF"/>
                <w:lang w:val="en-US"/>
              </w:rPr>
              <w:t>Fandriana (HIER) — value → source</w:t>
            </w:r>
          </w:p>
        </w:tc>
        <w:tc>
          <w:tcPr>
            <w:tcW w:w="3438" w:type="dxa"/>
            <w:tcBorders>
              <w:top w:val="single" w:sz="1" w:space="0" w:color="BBBBBB"/>
              <w:left w:val="single" w:sz="1" w:space="0" w:color="BBBBBB"/>
              <w:bottom w:val="single" w:sz="1" w:space="0" w:color="BBBBBB"/>
              <w:right w:val="single" w:sz="1" w:space="0" w:color="BBBBBB"/>
            </w:tcBorders>
            <w:shd w:val="clear" w:color="auto" w:fill="2E5E8C"/>
            <w:tcMar>
              <w:top w:w="60" w:type="dxa"/>
              <w:left w:w="110" w:type="dxa"/>
              <w:bottom w:w="60" w:type="dxa"/>
              <w:right w:w="110" w:type="dxa"/>
            </w:tcMar>
          </w:tcPr>
          <w:p w14:paraId="6A27629A" w14:textId="77777777" w:rsidR="00CF3CFF" w:rsidRPr="00AF6EF1" w:rsidRDefault="00000000" w:rsidP="00AF6EF1">
            <w:pPr>
              <w:spacing w:after="40" w:line="252" w:lineRule="auto"/>
              <w:rPr>
                <w:rFonts w:ascii="Garamond" w:hAnsi="Garamond"/>
                <w:lang w:val="en-US"/>
              </w:rPr>
            </w:pPr>
            <w:r w:rsidRPr="00AF6EF1">
              <w:rPr>
                <w:rFonts w:ascii="Garamond" w:hAnsi="Garamond"/>
                <w:b/>
                <w:bCs/>
                <w:color w:val="FFFFFF"/>
                <w:lang w:val="en-US"/>
              </w:rPr>
              <w:t xml:space="preserve">Jiro </w:t>
            </w:r>
            <w:proofErr w:type="spellStart"/>
            <w:r w:rsidRPr="00AF6EF1">
              <w:rPr>
                <w:rFonts w:ascii="Garamond" w:hAnsi="Garamond"/>
                <w:b/>
                <w:bCs/>
                <w:color w:val="FFFFFF"/>
                <w:lang w:val="en-US"/>
              </w:rPr>
              <w:t>Taratra</w:t>
            </w:r>
            <w:proofErr w:type="spellEnd"/>
            <w:r w:rsidRPr="00AF6EF1">
              <w:rPr>
                <w:rFonts w:ascii="Garamond" w:hAnsi="Garamond"/>
                <w:b/>
                <w:bCs/>
                <w:color w:val="FFFFFF"/>
                <w:lang w:val="en-US"/>
              </w:rPr>
              <w:t xml:space="preserve"> (AGT + CASIELEC) — value → source</w:t>
            </w:r>
          </w:p>
        </w:tc>
      </w:tr>
      <w:tr w:rsidR="00CF3CFF" w:rsidRPr="00AF6EF1" w14:paraId="3B6B6288" w14:textId="77777777">
        <w:tc>
          <w:tcPr>
            <w:tcW w:w="2150" w:type="dxa"/>
            <w:tcBorders>
              <w:top w:val="single" w:sz="1" w:space="0" w:color="BBBBBB"/>
              <w:left w:val="single" w:sz="1" w:space="0" w:color="BBBBBB"/>
              <w:bottom w:val="single" w:sz="1" w:space="0" w:color="BBBBBB"/>
              <w:right w:val="single" w:sz="1" w:space="0" w:color="BBBBBB"/>
            </w:tcBorders>
            <w:shd w:val="clear" w:color="auto" w:fill="EAF2FA"/>
            <w:tcMar>
              <w:top w:w="60" w:type="dxa"/>
              <w:left w:w="110" w:type="dxa"/>
              <w:bottom w:w="60" w:type="dxa"/>
              <w:right w:w="110" w:type="dxa"/>
            </w:tcMar>
          </w:tcPr>
          <w:p w14:paraId="57A33091"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Region / district</w:t>
            </w:r>
          </w:p>
        </w:tc>
        <w:tc>
          <w:tcPr>
            <w:tcW w:w="3438" w:type="dxa"/>
            <w:tcBorders>
              <w:top w:val="single" w:sz="1" w:space="0" w:color="BBBBBB"/>
              <w:left w:val="single" w:sz="1" w:space="0" w:color="BBBBBB"/>
              <w:bottom w:val="single" w:sz="1" w:space="0" w:color="BBBBBB"/>
              <w:right w:val="single" w:sz="1" w:space="0" w:color="BBBBBB"/>
            </w:tcBorders>
            <w:shd w:val="clear" w:color="auto" w:fill="EAF2FA"/>
            <w:tcMar>
              <w:top w:w="60" w:type="dxa"/>
              <w:left w:w="110" w:type="dxa"/>
              <w:bottom w:w="60" w:type="dxa"/>
              <w:right w:w="110" w:type="dxa"/>
            </w:tcMar>
          </w:tcPr>
          <w:p w14:paraId="2A8B214A" w14:textId="77777777" w:rsidR="00CF3CFF" w:rsidRPr="00AF6EF1" w:rsidRDefault="00000000" w:rsidP="00AF6EF1">
            <w:pPr>
              <w:spacing w:after="40" w:line="252" w:lineRule="auto"/>
              <w:rPr>
                <w:rFonts w:ascii="Garamond" w:hAnsi="Garamond"/>
                <w:lang w:val="en-US"/>
              </w:rPr>
            </w:pPr>
            <w:proofErr w:type="spellStart"/>
            <w:r w:rsidRPr="00AF6EF1">
              <w:rPr>
                <w:rFonts w:ascii="Garamond" w:hAnsi="Garamond"/>
                <w:lang w:val="en-US"/>
              </w:rPr>
              <w:t>Amoron’i</w:t>
            </w:r>
            <w:proofErr w:type="spellEnd"/>
            <w:r w:rsidRPr="00AF6EF1">
              <w:rPr>
                <w:rFonts w:ascii="Garamond" w:hAnsi="Garamond"/>
                <w:lang w:val="en-US"/>
              </w:rPr>
              <w:t xml:space="preserve"> Mania — p.2</w:t>
            </w:r>
          </w:p>
        </w:tc>
        <w:tc>
          <w:tcPr>
            <w:tcW w:w="3438" w:type="dxa"/>
            <w:tcBorders>
              <w:top w:val="single" w:sz="1" w:space="0" w:color="BBBBBB"/>
              <w:left w:val="single" w:sz="1" w:space="0" w:color="BBBBBB"/>
              <w:bottom w:val="single" w:sz="1" w:space="0" w:color="BBBBBB"/>
              <w:right w:val="single" w:sz="1" w:space="0" w:color="BBBBBB"/>
            </w:tcBorders>
            <w:shd w:val="clear" w:color="auto" w:fill="EAF2FA"/>
            <w:tcMar>
              <w:top w:w="60" w:type="dxa"/>
              <w:left w:w="110" w:type="dxa"/>
              <w:bottom w:w="60" w:type="dxa"/>
              <w:right w:w="110" w:type="dxa"/>
            </w:tcMar>
          </w:tcPr>
          <w:p w14:paraId="3688DBF7" w14:textId="77777777" w:rsidR="00CF3CFF" w:rsidRPr="00AF6EF1" w:rsidRDefault="00000000" w:rsidP="00AF6EF1">
            <w:pPr>
              <w:spacing w:after="40" w:line="252" w:lineRule="auto"/>
              <w:rPr>
                <w:rFonts w:ascii="Garamond" w:hAnsi="Garamond"/>
                <w:lang w:val="en-US"/>
              </w:rPr>
            </w:pPr>
            <w:proofErr w:type="spellStart"/>
            <w:r w:rsidRPr="00AF6EF1">
              <w:rPr>
                <w:rFonts w:ascii="Garamond" w:hAnsi="Garamond"/>
                <w:lang w:val="en-US"/>
              </w:rPr>
              <w:t>Bongolava</w:t>
            </w:r>
            <w:proofErr w:type="spellEnd"/>
            <w:r w:rsidRPr="00AF6EF1">
              <w:rPr>
                <w:rFonts w:ascii="Garamond" w:hAnsi="Garamond"/>
                <w:lang w:val="en-US"/>
              </w:rPr>
              <w:t xml:space="preserve"> / </w:t>
            </w:r>
            <w:proofErr w:type="spellStart"/>
            <w:r w:rsidRPr="00AF6EF1">
              <w:rPr>
                <w:rFonts w:ascii="Garamond" w:hAnsi="Garamond"/>
                <w:lang w:val="en-US"/>
              </w:rPr>
              <w:t>Tsiroanomandidy</w:t>
            </w:r>
            <w:proofErr w:type="spellEnd"/>
            <w:r w:rsidRPr="00AF6EF1">
              <w:rPr>
                <w:rFonts w:ascii="Garamond" w:hAnsi="Garamond"/>
                <w:lang w:val="en-US"/>
              </w:rPr>
              <w:t xml:space="preserve"> — p.2</w:t>
            </w:r>
          </w:p>
        </w:tc>
      </w:tr>
      <w:tr w:rsidR="00CF3CFF" w:rsidRPr="00AF6EF1" w14:paraId="6EC5F472" w14:textId="77777777">
        <w:tc>
          <w:tcPr>
            <w:tcW w:w="21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21AFC00B"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Coverage</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6E672828"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183 fokontany, 9 communes, ~164,000 people — p.2 (164,131)</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067C6F49"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81 fokontany, 12 communes, ~170,000 people — p.2</w:t>
            </w:r>
          </w:p>
        </w:tc>
      </w:tr>
      <w:tr w:rsidR="00CF3CFF" w:rsidRPr="00AF6EF1" w14:paraId="1C56F357" w14:textId="77777777">
        <w:tc>
          <w:tcPr>
            <w:tcW w:w="21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3B3FAAB5"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Localities (grid / mini-grid / nano-grid)</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1484ADCF"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83 (76 / 0 / 7) — p.3</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410C9FB0"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94 (65 / 4 / 25) — p.3</w:t>
            </w:r>
          </w:p>
        </w:tc>
      </w:tr>
      <w:tr w:rsidR="00CF3CFF" w:rsidRPr="00AF6EF1" w14:paraId="2442BDAC" w14:textId="77777777">
        <w:tc>
          <w:tcPr>
            <w:tcW w:w="21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4EC20042"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Customers by target year</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0390D1E6"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17,714 by year 30 — p.3 and p.4</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65D129F0"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63,240 by year 33 — p.3 and p.4</w:t>
            </w:r>
          </w:p>
        </w:tc>
      </w:tr>
      <w:tr w:rsidR="00CF3CFF" w:rsidRPr="00AF6EF1" w14:paraId="227D8B0D" w14:textId="77777777">
        <w:tc>
          <w:tcPr>
            <w:tcW w:w="21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2F732F06"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Distribution network</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70DFD437"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~234 km — p.4 (98 km MT + 136 km BT, p.3)</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55DD366B"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~531 km — p.4 (294 km MT + 237 km BT, p.3)</w:t>
            </w:r>
          </w:p>
        </w:tc>
      </w:tr>
      <w:tr w:rsidR="00CF3CFF" w:rsidRPr="00AF6EF1" w14:paraId="5C07B634" w14:textId="77777777">
        <w:tc>
          <w:tcPr>
            <w:tcW w:w="21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454C45F1"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Renewable capacity</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1A240EB0"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2.75 MW (hydro + solar) — p.4</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74542B22"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9.14 MW (solar) — p.3 and p.4</w:t>
            </w:r>
          </w:p>
        </w:tc>
      </w:tr>
      <w:tr w:rsidR="00CF3CFF" w:rsidRPr="00AF6EF1" w14:paraId="72387730" w14:textId="77777777">
        <w:tc>
          <w:tcPr>
            <w:tcW w:w="21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2EE5D6A9"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lastRenderedPageBreak/>
              <w:t>Total investment</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4268EF34"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~EUR 17.6 m — p.3 and p.4</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4EAD879D"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~EUR 52.6 m — p.4</w:t>
            </w:r>
          </w:p>
        </w:tc>
      </w:tr>
      <w:tr w:rsidR="00CF3CFF" w:rsidRPr="00AF6EF1" w14:paraId="56F3D30D" w14:textId="77777777">
        <w:tc>
          <w:tcPr>
            <w:tcW w:w="21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7B414E84"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 of which private</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136E1551"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~EUR 4.1 m (~23%) — p.3 and p.4</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0134858B"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~EUR 23.3 m (~44%) — p.4</w:t>
            </w:r>
          </w:p>
        </w:tc>
      </w:tr>
      <w:tr w:rsidR="00CF3CFF" w:rsidRPr="00AF6EF1" w14:paraId="09C7741B" w14:textId="77777777">
        <w:tc>
          <w:tcPr>
            <w:tcW w:w="2150"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62F48458"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 of which subsidy</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59861B7A"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~EUR 13.5 m — p.4</w:t>
            </w:r>
          </w:p>
        </w:tc>
        <w:tc>
          <w:tcPr>
            <w:tcW w:w="3438" w:type="dxa"/>
            <w:tcBorders>
              <w:top w:val="single" w:sz="1" w:space="0" w:color="BBBBBB"/>
              <w:left w:val="single" w:sz="1" w:space="0" w:color="BBBBBB"/>
              <w:bottom w:val="single" w:sz="1" w:space="0" w:color="BBBBBB"/>
              <w:right w:val="single" w:sz="1" w:space="0" w:color="BBBBBB"/>
            </w:tcBorders>
            <w:tcMar>
              <w:top w:w="60" w:type="dxa"/>
              <w:left w:w="110" w:type="dxa"/>
              <w:bottom w:w="60" w:type="dxa"/>
              <w:right w:w="110" w:type="dxa"/>
            </w:tcMar>
          </w:tcPr>
          <w:p w14:paraId="08D90CA9" w14:textId="77777777" w:rsidR="00CF3CFF" w:rsidRPr="00AF6EF1" w:rsidRDefault="00000000" w:rsidP="00AF6EF1">
            <w:pPr>
              <w:spacing w:after="40" w:line="252" w:lineRule="auto"/>
              <w:rPr>
                <w:rFonts w:ascii="Garamond" w:hAnsi="Garamond"/>
                <w:lang w:val="en-US"/>
              </w:rPr>
            </w:pPr>
            <w:r w:rsidRPr="00AF6EF1">
              <w:rPr>
                <w:rFonts w:ascii="Garamond" w:hAnsi="Garamond"/>
                <w:lang w:val="en-US"/>
              </w:rPr>
              <w:t>~EUR 29.3 m — p.4</w:t>
            </w:r>
          </w:p>
        </w:tc>
      </w:tr>
    </w:tbl>
    <w:p w14:paraId="61C42D40" w14:textId="77777777" w:rsidR="00AF6EF1" w:rsidRDefault="00AF6EF1" w:rsidP="00AF6EF1">
      <w:pPr>
        <w:spacing w:after="120" w:line="276" w:lineRule="auto"/>
        <w:jc w:val="both"/>
        <w:rPr>
          <w:rFonts w:ascii="Garamond" w:hAnsi="Garamond"/>
          <w:b/>
          <w:bCs/>
          <w:lang w:val="en-US"/>
        </w:rPr>
      </w:pPr>
    </w:p>
    <w:p w14:paraId="43BDF8F0" w14:textId="2E147473" w:rsidR="00CF3CFF" w:rsidRPr="00AF6EF1" w:rsidRDefault="00000000" w:rsidP="00AF6EF1">
      <w:pPr>
        <w:spacing w:after="120" w:line="276" w:lineRule="auto"/>
        <w:jc w:val="both"/>
        <w:rPr>
          <w:rFonts w:ascii="Garamond" w:hAnsi="Garamond"/>
          <w:lang w:val="en-US"/>
        </w:rPr>
      </w:pPr>
      <w:r w:rsidRPr="00AF6EF1">
        <w:rPr>
          <w:rFonts w:ascii="Garamond" w:hAnsi="Garamond"/>
          <w:b/>
          <w:bCs/>
          <w:lang w:val="en-US"/>
        </w:rPr>
        <w:t xml:space="preserve">Note on the factsheets. </w:t>
      </w:r>
      <w:r w:rsidRPr="00AF6EF1">
        <w:rPr>
          <w:rFonts w:ascii="Garamond" w:hAnsi="Garamond"/>
          <w:lang w:val="en-US"/>
        </w:rPr>
        <w:t xml:space="preserve">The page-4 infographics contain a few internal inconsistencies that Table 3 does </w:t>
      </w:r>
      <w:r w:rsidRPr="00AF6EF1">
        <w:rPr>
          <w:rFonts w:ascii="Garamond" w:hAnsi="Garamond"/>
          <w:b/>
          <w:bCs/>
          <w:lang w:val="en-US"/>
        </w:rPr>
        <w:t>not</w:t>
      </w:r>
      <w:r w:rsidRPr="00AF6EF1">
        <w:rPr>
          <w:rFonts w:ascii="Garamond" w:hAnsi="Garamond"/>
          <w:lang w:val="en-US"/>
        </w:rPr>
        <w:t xml:space="preserve"> adopt: the Jiro </w:t>
      </w:r>
      <w:proofErr w:type="spellStart"/>
      <w:r w:rsidRPr="00AF6EF1">
        <w:rPr>
          <w:rFonts w:ascii="Garamond" w:hAnsi="Garamond"/>
          <w:lang w:val="en-US"/>
        </w:rPr>
        <w:t>Taratra</w:t>
      </w:r>
      <w:proofErr w:type="spellEnd"/>
      <w:r w:rsidRPr="00AF6EF1">
        <w:rPr>
          <w:rFonts w:ascii="Garamond" w:hAnsi="Garamond"/>
          <w:lang w:val="en-US"/>
        </w:rPr>
        <w:t xml:space="preserve"> infographic shows “21 mini-grids / 801 nano-grids” and the Fandriana infographic shows “144 nano-grids,” whereas the page-3 narratives give 4 mini-grids / 25 nano-grid localities (Jiro Taratra) and 7 nano-grid localities (Fandriana). Table 3 follows the page-3 long-term-plan figures.</w:t>
      </w:r>
    </w:p>
    <w:p w14:paraId="6A03F3D0"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b/>
          <w:bCs/>
          <w:lang w:val="en-US"/>
        </w:rPr>
        <w:t xml:space="preserve">Out of scope (other manuscript exhibits): </w:t>
      </w:r>
      <w:r w:rsidRPr="00AF6EF1">
        <w:rPr>
          <w:rFonts w:ascii="Garamond" w:hAnsi="Garamond"/>
          <w:lang w:val="en-US"/>
        </w:rPr>
        <w:t>Table 1 (Uganda) and Table 2 (Zambia) are reproduced by separate packages from the authors’ financial models; Table 4 is a qualitative synthesis; Figures 1–2 are conceptual diagrams.</w:t>
      </w:r>
    </w:p>
    <w:p w14:paraId="34AD7098" w14:textId="77777777" w:rsidR="00CF3CFF" w:rsidRPr="00AF6EF1" w:rsidRDefault="00000000" w:rsidP="00AF6EF1">
      <w:pPr>
        <w:pStyle w:val="Ttulo1"/>
      </w:pPr>
      <w:r w:rsidRPr="00AF6EF1">
        <w:t>5. Requirements</w:t>
      </w:r>
    </w:p>
    <w:p w14:paraId="7CC53E9F"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b/>
          <w:bCs/>
          <w:lang w:val="en-US"/>
        </w:rPr>
        <w:t xml:space="preserve">Computational requirements: none. </w:t>
      </w:r>
      <w:r w:rsidRPr="00AF6EF1">
        <w:rPr>
          <w:rFonts w:ascii="Garamond" w:hAnsi="Garamond"/>
          <w:lang w:val="en-US"/>
        </w:rPr>
        <w:t>The package contains no executable code and no model.</w:t>
      </w:r>
    </w:p>
    <w:p w14:paraId="36005DF0"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b/>
          <w:bCs/>
          <w:lang w:val="en-US"/>
        </w:rPr>
        <w:t xml:space="preserve">Software: </w:t>
      </w:r>
      <w:r w:rsidRPr="00AF6EF1">
        <w:rPr>
          <w:rFonts w:ascii="Garamond" w:hAnsi="Garamond"/>
          <w:lang w:val="en-US"/>
        </w:rPr>
        <w:t>any PDF reader to open the two source factsheets.</w:t>
      </w:r>
    </w:p>
    <w:p w14:paraId="4720838C"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hAnsi="Garamond"/>
          <w:b/>
          <w:bCs/>
          <w:lang w:val="en-US"/>
        </w:rPr>
        <w:t xml:space="preserve">Runtime / memory / storage: </w:t>
      </w:r>
      <w:r w:rsidRPr="00AF6EF1">
        <w:rPr>
          <w:rFonts w:ascii="Garamond" w:hAnsi="Garamond"/>
          <w:lang w:val="en-US"/>
        </w:rPr>
        <w:t>not applicable beyond opening two small PDF files.</w:t>
      </w:r>
    </w:p>
    <w:p w14:paraId="45637703" w14:textId="77777777" w:rsidR="00CF3CFF" w:rsidRPr="00AF6EF1" w:rsidRDefault="00000000" w:rsidP="00AF6EF1">
      <w:pPr>
        <w:pStyle w:val="Ttulo1"/>
      </w:pPr>
      <w:r w:rsidRPr="00AF6EF1">
        <w:t>6. Provenance and Disclosure</w:t>
      </w:r>
    </w:p>
    <w:p w14:paraId="13D9902D"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lang w:val="en-US"/>
        </w:rPr>
        <w:t>The figures in Table 3 come from a planning analysis carried out under the CERI in Madagascar. The Integrated Framework for Electrification on which the CERI is based was developed at MIT and Comillas University and is championed by the African School of Regulation. The authors, through that MIT–Comillas / African School of Regulation team, are part of the team behind the Madagascar CERI analysis and the underlying district financial models.</w:t>
      </w:r>
    </w:p>
    <w:p w14:paraId="1C7CB8E9" w14:textId="77777777" w:rsidR="00CF3CFF" w:rsidRPr="00AF6EF1" w:rsidRDefault="00000000" w:rsidP="00AF6EF1">
      <w:pPr>
        <w:spacing w:after="120" w:line="276" w:lineRule="auto"/>
        <w:jc w:val="both"/>
        <w:rPr>
          <w:rFonts w:ascii="Garamond" w:hAnsi="Garamond"/>
          <w:lang w:val="en-US"/>
        </w:rPr>
      </w:pPr>
      <w:r w:rsidRPr="00AF6EF1">
        <w:rPr>
          <w:rFonts w:ascii="Garamond" w:hAnsi="Garamond"/>
          <w:lang w:val="en-US"/>
        </w:rPr>
        <w:t xml:space="preserve">Those detailed district models are confidential and are </w:t>
      </w:r>
      <w:r w:rsidRPr="00AF6EF1">
        <w:rPr>
          <w:rFonts w:ascii="Garamond" w:hAnsi="Garamond"/>
          <w:b/>
          <w:bCs/>
          <w:lang w:val="en-US"/>
        </w:rPr>
        <w:t>not</w:t>
      </w:r>
      <w:r w:rsidRPr="00AF6EF1">
        <w:rPr>
          <w:rFonts w:ascii="Garamond" w:hAnsi="Garamond"/>
          <w:lang w:val="en-US"/>
        </w:rPr>
        <w:t xml:space="preserve"> included in this package. The package instead references the corresponding results exactly as published publicly by GIZ / TANGO in the two factsheets above. This note is provided so that both the externally published, public nature of the Table 3 figures and the authors’ role in the underlying analysis are transparent and on the record.</w:t>
      </w:r>
    </w:p>
    <w:p w14:paraId="77CE7CB6" w14:textId="77777777" w:rsidR="00CF3CFF" w:rsidRPr="00AF6EF1" w:rsidRDefault="00000000" w:rsidP="00AF6EF1">
      <w:pPr>
        <w:pStyle w:val="Ttulo1"/>
      </w:pPr>
      <w:r w:rsidRPr="00AF6EF1">
        <w:t>7. Folder structure</w:t>
      </w:r>
    </w:p>
    <w:p w14:paraId="4793498E"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eastAsia="Consolas" w:hAnsi="Garamond" w:cs="Consolas"/>
          <w:sz w:val="20"/>
          <w:szCs w:val="20"/>
          <w:lang w:val="en-US"/>
        </w:rPr>
        <w:t>/giz2025-fr-...Fandriana.pdf</w:t>
      </w:r>
      <w:r w:rsidRPr="00AF6EF1">
        <w:rPr>
          <w:rFonts w:ascii="Garamond" w:hAnsi="Garamond"/>
          <w:lang w:val="en-US"/>
        </w:rPr>
        <w:t xml:space="preserve"> — Fandriana factsheet (GIZ / Tosika Angovo), source of Table 3</w:t>
      </w:r>
    </w:p>
    <w:p w14:paraId="78799497" w14:textId="77777777" w:rsidR="00CF3CFF" w:rsidRPr="00AF6EF1" w:rsidRDefault="00000000" w:rsidP="00AF6EF1">
      <w:pPr>
        <w:pStyle w:val="Prrafodelista"/>
        <w:numPr>
          <w:ilvl w:val="0"/>
          <w:numId w:val="1"/>
        </w:numPr>
        <w:spacing w:after="80" w:line="276" w:lineRule="auto"/>
        <w:jc w:val="both"/>
        <w:rPr>
          <w:rFonts w:ascii="Garamond" w:hAnsi="Garamond"/>
          <w:lang w:val="en-US"/>
        </w:rPr>
      </w:pPr>
      <w:r w:rsidRPr="00AF6EF1">
        <w:rPr>
          <w:rFonts w:ascii="Garamond" w:eastAsia="Consolas" w:hAnsi="Garamond" w:cs="Consolas"/>
          <w:sz w:val="20"/>
          <w:szCs w:val="20"/>
          <w:lang w:val="en-US"/>
        </w:rPr>
        <w:t>/giz2025-fr-...Jiro_Taratra.pdf</w:t>
      </w:r>
      <w:r w:rsidRPr="00AF6EF1">
        <w:rPr>
          <w:rFonts w:ascii="Garamond" w:hAnsi="Garamond"/>
          <w:lang w:val="en-US"/>
        </w:rPr>
        <w:t xml:space="preserve"> — Jiro </w:t>
      </w:r>
      <w:proofErr w:type="spellStart"/>
      <w:r w:rsidRPr="00AF6EF1">
        <w:rPr>
          <w:rFonts w:ascii="Garamond" w:hAnsi="Garamond"/>
          <w:lang w:val="en-US"/>
        </w:rPr>
        <w:t>Taratra</w:t>
      </w:r>
      <w:proofErr w:type="spellEnd"/>
      <w:r w:rsidRPr="00AF6EF1">
        <w:rPr>
          <w:rFonts w:ascii="Garamond" w:hAnsi="Garamond"/>
          <w:lang w:val="en-US"/>
        </w:rPr>
        <w:t xml:space="preserve"> factsheet (GIZ / Tosika Angovo), source of Table 3</w:t>
      </w:r>
    </w:p>
    <w:p w14:paraId="04133F7B" w14:textId="486F5B3C" w:rsidR="00CF3CFF" w:rsidRPr="00B46091" w:rsidRDefault="00000000" w:rsidP="00B46091">
      <w:pPr>
        <w:pStyle w:val="Prrafodelista"/>
        <w:numPr>
          <w:ilvl w:val="0"/>
          <w:numId w:val="1"/>
        </w:numPr>
        <w:spacing w:after="80" w:line="276" w:lineRule="auto"/>
        <w:jc w:val="both"/>
        <w:rPr>
          <w:rFonts w:ascii="Garamond" w:hAnsi="Garamond"/>
          <w:lang w:val="en-US"/>
        </w:rPr>
      </w:pPr>
      <w:r w:rsidRPr="00AF6EF1">
        <w:rPr>
          <w:rFonts w:ascii="Garamond" w:eastAsia="Consolas" w:hAnsi="Garamond" w:cs="Consolas"/>
          <w:sz w:val="20"/>
          <w:szCs w:val="20"/>
          <w:lang w:val="en-US"/>
        </w:rPr>
        <w:t>/README.docx</w:t>
      </w:r>
      <w:r w:rsidRPr="00AF6EF1">
        <w:rPr>
          <w:rFonts w:ascii="Garamond" w:hAnsi="Garamond"/>
          <w:lang w:val="en-US"/>
        </w:rPr>
        <w:t xml:space="preserve"> (this file)</w:t>
      </w:r>
    </w:p>
    <w:sectPr w:rsidR="00CF3CFF" w:rsidRPr="00B46091">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CD2B37"/>
    <w:multiLevelType w:val="hybridMultilevel"/>
    <w:tmpl w:val="4FC6D4AE"/>
    <w:lvl w:ilvl="0" w:tplc="CAEC374C">
      <w:start w:val="1"/>
      <w:numFmt w:val="bullet"/>
      <w:lvlText w:val="●"/>
      <w:lvlJc w:val="left"/>
      <w:pPr>
        <w:ind w:left="720" w:hanging="360"/>
      </w:pPr>
    </w:lvl>
    <w:lvl w:ilvl="1" w:tplc="DE8C3D88">
      <w:start w:val="1"/>
      <w:numFmt w:val="bullet"/>
      <w:lvlText w:val="○"/>
      <w:lvlJc w:val="left"/>
      <w:pPr>
        <w:ind w:left="1440" w:hanging="360"/>
      </w:pPr>
    </w:lvl>
    <w:lvl w:ilvl="2" w:tplc="10F606D2">
      <w:start w:val="1"/>
      <w:numFmt w:val="bullet"/>
      <w:lvlText w:val="■"/>
      <w:lvlJc w:val="left"/>
      <w:pPr>
        <w:ind w:left="2160" w:hanging="360"/>
      </w:pPr>
    </w:lvl>
    <w:lvl w:ilvl="3" w:tplc="F0EE7BBA">
      <w:start w:val="1"/>
      <w:numFmt w:val="bullet"/>
      <w:lvlText w:val="●"/>
      <w:lvlJc w:val="left"/>
      <w:pPr>
        <w:ind w:left="2880" w:hanging="360"/>
      </w:pPr>
    </w:lvl>
    <w:lvl w:ilvl="4" w:tplc="16063B46">
      <w:start w:val="1"/>
      <w:numFmt w:val="bullet"/>
      <w:lvlText w:val="○"/>
      <w:lvlJc w:val="left"/>
      <w:pPr>
        <w:ind w:left="3600" w:hanging="360"/>
      </w:pPr>
    </w:lvl>
    <w:lvl w:ilvl="5" w:tplc="3BF48558">
      <w:start w:val="1"/>
      <w:numFmt w:val="bullet"/>
      <w:lvlText w:val="■"/>
      <w:lvlJc w:val="left"/>
      <w:pPr>
        <w:ind w:left="4320" w:hanging="360"/>
      </w:pPr>
    </w:lvl>
    <w:lvl w:ilvl="6" w:tplc="250807E0">
      <w:start w:val="1"/>
      <w:numFmt w:val="bullet"/>
      <w:lvlText w:val="●"/>
      <w:lvlJc w:val="left"/>
      <w:pPr>
        <w:ind w:left="5040" w:hanging="360"/>
      </w:pPr>
    </w:lvl>
    <w:lvl w:ilvl="7" w:tplc="9B1E536A">
      <w:start w:val="1"/>
      <w:numFmt w:val="bullet"/>
      <w:lvlText w:val="●"/>
      <w:lvlJc w:val="left"/>
      <w:pPr>
        <w:ind w:left="5760" w:hanging="360"/>
      </w:pPr>
    </w:lvl>
    <w:lvl w:ilvl="8" w:tplc="8E002A9C">
      <w:start w:val="1"/>
      <w:numFmt w:val="bullet"/>
      <w:lvlText w:val="●"/>
      <w:lvlJc w:val="left"/>
      <w:pPr>
        <w:ind w:left="6480" w:hanging="360"/>
      </w:pPr>
    </w:lvl>
  </w:abstractNum>
  <w:num w:numId="1" w16cid:durableId="2015300364">
    <w:abstractNumId w:val="0"/>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CFF"/>
    <w:rsid w:val="00412A99"/>
    <w:rsid w:val="00AF6EF1"/>
    <w:rsid w:val="00B46091"/>
    <w:rsid w:val="00CF3CF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2F8F8456"/>
  <w15:docId w15:val="{E13379E8-F852-1847-8CE5-A222178F0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Arial"/>
        <w:sz w:val="21"/>
        <w:szCs w:val="21"/>
        <w:lang w:val="es-ES"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rsid w:val="00AF6EF1"/>
    <w:pPr>
      <w:spacing w:before="280" w:after="240"/>
      <w:jc w:val="both"/>
      <w:outlineLvl w:val="0"/>
    </w:pPr>
    <w:rPr>
      <w:rFonts w:ascii="Garamond" w:hAnsi="Garamond"/>
      <w:b/>
      <w:bCs/>
      <w:color w:val="2E74B5"/>
      <w:sz w:val="30"/>
      <w:szCs w:val="30"/>
      <w:lang w:val="en-US"/>
    </w:rPr>
  </w:style>
  <w:style w:type="paragraph" w:styleId="Ttulo2">
    <w:name w:val="heading 2"/>
    <w:uiPriority w:val="9"/>
    <w:unhideWhenUsed/>
    <w:qFormat/>
    <w:rsid w:val="00AF6EF1"/>
    <w:pPr>
      <w:spacing w:before="240" w:after="240"/>
      <w:jc w:val="both"/>
      <w:outlineLvl w:val="1"/>
    </w:pPr>
    <w:rPr>
      <w:rFonts w:ascii="Garamond" w:hAnsi="Garamond"/>
      <w:b/>
      <w:bCs/>
      <w:color w:val="2E74B5"/>
      <w:sz w:val="25"/>
      <w:szCs w:val="25"/>
      <w:lang w:val="en-US"/>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Fuerte1">
    <w:name w:val="Fuerte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rPr>
      <w:sz w:val="20"/>
      <w:szCs w:val="20"/>
    </w:rPr>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rPr>
      <w:sz w:val="20"/>
      <w:szCs w:val="20"/>
    </w:rPr>
  </w:style>
  <w:style w:type="character" w:customStyle="1" w:styleId="TextonotaalfinalCar">
    <w:name w:val="Texto nota al final Car"/>
    <w:link w:val="Textonotaalfinal"/>
    <w:uiPriority w:val="99"/>
    <w:semiHidden/>
    <w:unhideWhenUsed/>
    <w:rPr>
      <w:sz w:val="20"/>
      <w:szCs w:val="20"/>
    </w:rPr>
  </w:style>
  <w:style w:type="character" w:styleId="Mencinsinresolver">
    <w:name w:val="Unresolved Mention"/>
    <w:basedOn w:val="Fuentedeprrafopredeter"/>
    <w:uiPriority w:val="99"/>
    <w:semiHidden/>
    <w:unhideWhenUsed/>
    <w:rsid w:val="00AF6E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imf.org/-/media/files/publications/cr/2025/english/1mdgea2025001-print-pdf.pdf" TargetMode="External"/><Relationship Id="rId3" Type="http://schemas.openxmlformats.org/officeDocument/2006/relationships/settings" Target="settings.xml"/><Relationship Id="rId7" Type="http://schemas.openxmlformats.org/officeDocument/2006/relationships/hyperlink" Target="https://www.giz.de/sites/default/files/media/els-document/2026-01/giz-renforce-l-acces-l-energie-durable-madagascar.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iz.de/de/downloads/giz2025-fr-Electrification%20Rurale%20Int&#233;gr&#233;e%20de%20Jiro%20Taratra.pdf" TargetMode="External"/><Relationship Id="rId11" Type="http://schemas.openxmlformats.org/officeDocument/2006/relationships/theme" Target="theme/theme1.xml"/><Relationship Id="rId5" Type="http://schemas.openxmlformats.org/officeDocument/2006/relationships/hyperlink" Target="https://www.giz.de/de/downloads/giz2025-fr-Electrification%20Rurale%20Int&#233;gr&#233;e%20de%20Fandriana.pd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nlegis.gov.mg/page_find_direct_mot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f34b0ab-fcf3-468f-92f9-73fe19b53e00}" enabled="1" method="Standard" siteId="{bcd2701c-aa9b-4d12-ba20-f3e3b83070c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3</Pages>
  <Words>1177</Words>
  <Characters>6475</Characters>
  <Application>Microsoft Office Word</Application>
  <DocSecurity>0</DocSecurity>
  <Lines>53</Lines>
  <Paragraphs>15</Paragraphs>
  <ScaleCrop>false</ScaleCrop>
  <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Santos J. Díaz Pastor</cp:lastModifiedBy>
  <cp:revision>3</cp:revision>
  <dcterms:created xsi:type="dcterms:W3CDTF">2026-06-29T10:26:00Z</dcterms:created>
  <dcterms:modified xsi:type="dcterms:W3CDTF">2026-06-29T12:03:00Z</dcterms:modified>
</cp:coreProperties>
</file>